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13B9" w14:textId="6DFAA2C1" w:rsidR="008F6E1B" w:rsidRPr="00AD44B9" w:rsidRDefault="008F6E1B" w:rsidP="008F6E1B">
      <w:pPr>
        <w:shd w:val="clear" w:color="auto" w:fill="FFFFFF"/>
        <w:spacing w:after="192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sz w:val="44"/>
          <w:szCs w:val="44"/>
          <w:u w:val="single"/>
          <w:lang w:eastAsia="cs-CZ"/>
          <w14:ligatures w14:val="none"/>
        </w:rPr>
      </w:pPr>
      <w:r w:rsidRPr="00AD44B9">
        <w:rPr>
          <w:rFonts w:ascii="PT Sans" w:eastAsia="Times New Roman" w:hAnsi="PT Sans" w:cs="Times New Roman"/>
          <w:b/>
          <w:bCs/>
          <w:color w:val="000000"/>
          <w:kern w:val="0"/>
          <w:sz w:val="44"/>
          <w:szCs w:val="44"/>
          <w:u w:val="single"/>
          <w:lang w:eastAsia="cs-CZ"/>
          <w14:ligatures w14:val="none"/>
        </w:rPr>
        <w:t xml:space="preserve">Česká </w:t>
      </w:r>
      <w:proofErr w:type="gramStart"/>
      <w:r w:rsidRPr="00AD44B9">
        <w:rPr>
          <w:rFonts w:ascii="PT Sans" w:eastAsia="Times New Roman" w:hAnsi="PT Sans" w:cs="Times New Roman"/>
          <w:b/>
          <w:bCs/>
          <w:color w:val="000000"/>
          <w:kern w:val="0"/>
          <w:sz w:val="44"/>
          <w:szCs w:val="44"/>
          <w:u w:val="single"/>
          <w:lang w:eastAsia="cs-CZ"/>
          <w14:ligatures w14:val="none"/>
        </w:rPr>
        <w:t>pošta -</w:t>
      </w:r>
      <w:r w:rsidR="005F5BDA" w:rsidRPr="00AD44B9">
        <w:rPr>
          <w:rFonts w:ascii="PT Sans" w:eastAsia="Times New Roman" w:hAnsi="PT Sans" w:cs="Times New Roman"/>
          <w:b/>
          <w:bCs/>
          <w:color w:val="000000"/>
          <w:kern w:val="0"/>
          <w:sz w:val="44"/>
          <w:szCs w:val="44"/>
          <w:u w:val="single"/>
          <w:lang w:eastAsia="cs-CZ"/>
          <w14:ligatures w14:val="none"/>
        </w:rPr>
        <w:t xml:space="preserve"> </w:t>
      </w:r>
      <w:r w:rsidR="00713F7E" w:rsidRPr="00AD44B9">
        <w:rPr>
          <w:rFonts w:ascii="PT Sans" w:eastAsia="Times New Roman" w:hAnsi="PT Sans" w:cs="Times New Roman"/>
          <w:b/>
          <w:bCs/>
          <w:color w:val="000000"/>
          <w:kern w:val="0"/>
          <w:sz w:val="44"/>
          <w:szCs w:val="44"/>
          <w:u w:val="single"/>
          <w:lang w:eastAsia="cs-CZ"/>
          <w14:ligatures w14:val="none"/>
        </w:rPr>
        <w:t>c</w:t>
      </w:r>
      <w:r w:rsidRPr="00AD44B9">
        <w:rPr>
          <w:rFonts w:ascii="PT Sans" w:eastAsia="Times New Roman" w:hAnsi="PT Sans" w:cs="Times New Roman"/>
          <w:b/>
          <w:bCs/>
          <w:color w:val="000000"/>
          <w:kern w:val="0"/>
          <w:sz w:val="44"/>
          <w:szCs w:val="44"/>
          <w:u w:val="single"/>
          <w:lang w:eastAsia="cs-CZ"/>
          <w14:ligatures w14:val="none"/>
        </w:rPr>
        <w:t>hytrá</w:t>
      </w:r>
      <w:proofErr w:type="gramEnd"/>
      <w:r w:rsidRPr="00AD44B9">
        <w:rPr>
          <w:rFonts w:ascii="PT Sans" w:eastAsia="Times New Roman" w:hAnsi="PT Sans" w:cs="Times New Roman"/>
          <w:b/>
          <w:bCs/>
          <w:color w:val="000000"/>
          <w:kern w:val="0"/>
          <w:sz w:val="44"/>
          <w:szCs w:val="44"/>
          <w:u w:val="single"/>
          <w:lang w:eastAsia="cs-CZ"/>
          <w14:ligatures w14:val="none"/>
        </w:rPr>
        <w:t xml:space="preserve"> podatelna pro Úřad práce</w:t>
      </w:r>
    </w:p>
    <w:p w14:paraId="65B481CF" w14:textId="7C80E94F" w:rsidR="00AD44B9" w:rsidRDefault="007739E3" w:rsidP="00032752">
      <w:pPr>
        <w:shd w:val="clear" w:color="auto" w:fill="FFFFFF"/>
        <w:spacing w:after="192" w:line="240" w:lineRule="auto"/>
        <w:jc w:val="both"/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</w:pPr>
      <w:r w:rsidRPr="007739E3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 xml:space="preserve">Pracovníci České pošty </w:t>
      </w:r>
      <w:r w:rsidR="00AD44B9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 xml:space="preserve">pomohou </w:t>
      </w:r>
      <w:r w:rsidRPr="007739E3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>zájemcům podat online žádost</w:t>
      </w:r>
      <w:r w:rsidR="00AD44B9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>i</w:t>
      </w:r>
      <w:r w:rsidR="008F6E1B" w:rsidRPr="005F5BDA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7739E3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 xml:space="preserve">v rámci Klientské zóny Jenda, konkrétně </w:t>
      </w:r>
      <w:r w:rsidR="00555319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 xml:space="preserve">se jedná </w:t>
      </w:r>
      <w:r w:rsidRPr="007739E3">
        <w:rPr>
          <w:rFonts w:ascii="PT Sans" w:eastAsia="Times New Roman" w:hAnsi="PT Sans" w:cs="Times New Roman"/>
          <w:b/>
          <w:bCs/>
          <w:color w:val="000000"/>
          <w:kern w:val="0"/>
          <w:sz w:val="28"/>
          <w:szCs w:val="28"/>
          <w:u w:val="single"/>
          <w:lang w:eastAsia="cs-CZ"/>
          <w14:ligatures w14:val="none"/>
        </w:rPr>
        <w:t>o žádosti o rodičovský příspěvek, přídavek na dítě nebo příspěvek na bydlení.</w:t>
      </w:r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 </w:t>
      </w:r>
    </w:p>
    <w:p w14:paraId="60D90571" w14:textId="6AABEEB8" w:rsidR="007739E3" w:rsidRDefault="007739E3" w:rsidP="00032752">
      <w:pPr>
        <w:shd w:val="clear" w:color="auto" w:fill="FFFFFF"/>
        <w:spacing w:after="192" w:line="240" w:lineRule="auto"/>
        <w:jc w:val="both"/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</w:pPr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Cílem </w:t>
      </w:r>
      <w:r w:rsidR="00555319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vzájemné </w:t>
      </w:r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spolupráce je rozšíření možností pro občany, kteří si nevědí rady s digitálním podáním žádosti a mají </w:t>
      </w:r>
      <w:r w:rsidR="00713F7E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poblíž </w:t>
      </w:r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>pobočku České pošty</w:t>
      </w:r>
      <w:r w:rsidR="00713F7E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. </w:t>
      </w:r>
    </w:p>
    <w:p w14:paraId="0FD23D89" w14:textId="77777777" w:rsidR="00610419" w:rsidRPr="00610419" w:rsidRDefault="00610419" w:rsidP="00610419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  <w:highlight w:val="yellow"/>
        </w:rPr>
      </w:pPr>
      <w:r w:rsidRPr="00610419">
        <w:rPr>
          <w:rFonts w:ascii="Arial" w:hAnsi="Arial" w:cs="Arial"/>
          <w:sz w:val="24"/>
          <w:szCs w:val="24"/>
          <w:highlight w:val="yellow"/>
        </w:rPr>
        <w:t>Pošta Louny, Štefánikova 1465</w:t>
      </w:r>
    </w:p>
    <w:p w14:paraId="0F8F5DFE" w14:textId="77777777" w:rsidR="00610419" w:rsidRPr="00610419" w:rsidRDefault="00610419" w:rsidP="00610419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  <w:highlight w:val="yellow"/>
        </w:rPr>
      </w:pPr>
      <w:r w:rsidRPr="00610419">
        <w:rPr>
          <w:rFonts w:ascii="Arial" w:hAnsi="Arial" w:cs="Arial"/>
          <w:sz w:val="24"/>
          <w:szCs w:val="24"/>
          <w:highlight w:val="yellow"/>
        </w:rPr>
        <w:t>Pošta Žatec, Volyňských Čechů 3098</w:t>
      </w:r>
    </w:p>
    <w:p w14:paraId="0A4089CB" w14:textId="732CBAB3" w:rsidR="007739E3" w:rsidRPr="007739E3" w:rsidRDefault="007739E3" w:rsidP="00032752">
      <w:pPr>
        <w:shd w:val="clear" w:color="auto" w:fill="FFFFFF"/>
        <w:spacing w:before="180" w:after="60" w:line="240" w:lineRule="auto"/>
        <w:jc w:val="both"/>
        <w:outlineLvl w:val="1"/>
        <w:rPr>
          <w:rFonts w:ascii="PT Sans" w:eastAsia="Times New Roman" w:hAnsi="PT Sans" w:cs="Times New Roman"/>
          <w:b/>
          <w:bCs/>
          <w:color w:val="000000"/>
          <w:kern w:val="0"/>
          <w:lang w:eastAsia="cs-CZ"/>
          <w14:ligatures w14:val="none"/>
        </w:rPr>
      </w:pPr>
      <w:r w:rsidRPr="007739E3">
        <w:rPr>
          <w:rFonts w:ascii="PT Sans" w:eastAsia="Times New Roman" w:hAnsi="PT Sans" w:cs="Times New Roman"/>
          <w:b/>
          <w:bCs/>
          <w:color w:val="000000"/>
          <w:kern w:val="0"/>
          <w:lang w:eastAsia="cs-CZ"/>
          <w14:ligatures w14:val="none"/>
        </w:rPr>
        <w:t xml:space="preserve">Co </w:t>
      </w:r>
      <w:r w:rsidR="00AD44B9">
        <w:rPr>
          <w:rFonts w:ascii="PT Sans" w:eastAsia="Times New Roman" w:hAnsi="PT Sans" w:cs="Times New Roman"/>
          <w:b/>
          <w:bCs/>
          <w:color w:val="000000"/>
          <w:kern w:val="0"/>
          <w:lang w:eastAsia="cs-CZ"/>
          <w14:ligatures w14:val="none"/>
        </w:rPr>
        <w:t xml:space="preserve">si vzít na poštu </w:t>
      </w:r>
      <w:r w:rsidRPr="007739E3">
        <w:rPr>
          <w:rFonts w:ascii="PT Sans" w:eastAsia="Times New Roman" w:hAnsi="PT Sans" w:cs="Times New Roman"/>
          <w:b/>
          <w:bCs/>
          <w:color w:val="000000"/>
          <w:kern w:val="0"/>
          <w:lang w:eastAsia="cs-CZ"/>
          <w14:ligatures w14:val="none"/>
        </w:rPr>
        <w:t>s sebou?</w:t>
      </w:r>
    </w:p>
    <w:p w14:paraId="31F03700" w14:textId="314E3DD4" w:rsidR="00CE72E1" w:rsidRPr="00A80BF2" w:rsidRDefault="007739E3" w:rsidP="00032752">
      <w:pPr>
        <w:shd w:val="clear" w:color="auto" w:fill="FFFFFF"/>
        <w:spacing w:after="192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K vyřízení podání s asistencí na České poště</w:t>
      </w:r>
      <w:r w:rsidR="00555319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postačuje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mít při sobě </w:t>
      </w:r>
      <w:r w:rsidRPr="00A80BF2">
        <w:rPr>
          <w:rFonts w:ascii="PT Sans" w:eastAsia="Times New Roman" w:hAnsi="PT Sans" w:cs="Times New Roman"/>
          <w:kern w:val="0"/>
          <w:u w:val="single"/>
          <w:lang w:eastAsia="cs-CZ"/>
          <w14:ligatures w14:val="none"/>
        </w:rPr>
        <w:t>občanský průkaz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nebo pas, </w:t>
      </w:r>
      <w:r w:rsidRPr="00A80BF2">
        <w:rPr>
          <w:rFonts w:ascii="PT Sans" w:eastAsia="Times New Roman" w:hAnsi="PT Sans" w:cs="Times New Roman"/>
          <w:kern w:val="0"/>
          <w:u w:val="single"/>
          <w:lang w:eastAsia="cs-CZ"/>
          <w14:ligatures w14:val="none"/>
        </w:rPr>
        <w:t>znát číslo účtu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, na který má dávka </w:t>
      </w:r>
      <w:r w:rsidR="000D174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s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tátní sociální podpory 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přijít (nechce-li </w:t>
      </w:r>
      <w:r w:rsidR="00AD44B9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klient zaslání 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poštovní poukázk</w:t>
      </w:r>
      <w:r w:rsidR="00AD44B9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ou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)</w:t>
      </w:r>
      <w:r w:rsidR="00AD44B9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,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kontaktní údaje (telefonní číslo a e-mail) a nezbytné dokumenty</w:t>
      </w:r>
      <w:r w:rsidR="00CE72E1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,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potřebné pro žádost o dávku</w:t>
      </w:r>
      <w:r w:rsidR="00CE72E1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, jejichž soupis je uveden níže.</w:t>
      </w:r>
    </w:p>
    <w:p w14:paraId="49D6A89E" w14:textId="2016A491" w:rsidR="007739E3" w:rsidRPr="00A80BF2" w:rsidRDefault="007739E3" w:rsidP="00032752">
      <w:pPr>
        <w:shd w:val="clear" w:color="auto" w:fill="FFFFFF"/>
        <w:spacing w:after="192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 </w:t>
      </w:r>
      <w:r w:rsidRPr="00A80BF2">
        <w:rPr>
          <w:rFonts w:ascii="PT Sans" w:eastAsia="Times New Roman" w:hAnsi="PT Sans" w:cs="Times New Roman"/>
          <w:b/>
          <w:bCs/>
          <w:kern w:val="0"/>
          <w:lang w:eastAsia="cs-CZ"/>
          <w14:ligatures w14:val="none"/>
        </w:rPr>
        <w:t>Pro přídavek na dítě</w:t>
      </w:r>
    </w:p>
    <w:p w14:paraId="378B4B43" w14:textId="1483AACF" w:rsidR="0013037B" w:rsidRPr="00A80BF2" w:rsidRDefault="000D174B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d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oklad o výši čtvrtletního příjmu</w:t>
      </w:r>
      <w:r w:rsidR="007739E3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žadatele a všech společně posuzovaných osob (potvrzení o příjmu ze zaměstnání, potvrzení o příjmu z dohody o provedení práce nebo pracovní činnosti, 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podnikání, důchod, podpor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a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v nezaměstnanosti, </w:t>
      </w:r>
      <w:r w:rsidR="007739E3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doklad o jiném příjmu – např. z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 </w:t>
      </w:r>
      <w:r w:rsidR="007739E3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pronájmu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.</w:t>
      </w:r>
    </w:p>
    <w:p w14:paraId="4B0FA411" w14:textId="250FA5C0" w:rsidR="007739E3" w:rsidRPr="00A80BF2" w:rsidRDefault="007739E3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prohlášení 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osob, které nemají příjmy rozhodné pro nárok na dávky (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společně posuzované osoby 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mladší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18 let, pokud nemá žádné příjmy)</w:t>
      </w:r>
      <w:r w:rsidR="00AD44B9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.</w:t>
      </w:r>
    </w:p>
    <w:p w14:paraId="321604E1" w14:textId="77777777" w:rsidR="007739E3" w:rsidRPr="00A80BF2" w:rsidRDefault="007739E3" w:rsidP="00032752">
      <w:pPr>
        <w:shd w:val="clear" w:color="auto" w:fill="FFFFFF"/>
        <w:spacing w:after="192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b/>
          <w:bCs/>
          <w:kern w:val="0"/>
          <w:lang w:eastAsia="cs-CZ"/>
          <w14:ligatures w14:val="none"/>
        </w:rPr>
        <w:t>Pro příspěvek na bydlení</w:t>
      </w:r>
    </w:p>
    <w:p w14:paraId="0E25A2A2" w14:textId="1E729482" w:rsidR="0013037B" w:rsidRPr="00A80BF2" w:rsidRDefault="000D174B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d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oklad o výši čtvrtletního příjmu žadatele a všech společně posuzovaných osob (potvrzený o příjem ze zaměstnání, potvrzený o příjem z dohody o provedení práce nebo pracovní činnosti, podnikání, důchod, podpor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a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v nezaměstnanosti, doklad o jiném příjmu – např. z pronájmu.</w:t>
      </w:r>
    </w:p>
    <w:p w14:paraId="705B85FE" w14:textId="02304588" w:rsidR="0013037B" w:rsidRPr="00A80BF2" w:rsidRDefault="0013037B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prohlášení osob, které nemají příjmy rozhodné pro nárok na dávky (společně posuzované osoby mladší 18 let, pokud nemá žádné příjmy).</w:t>
      </w:r>
    </w:p>
    <w:p w14:paraId="7588C828" w14:textId="368EBA39" w:rsidR="007739E3" w:rsidRPr="00A80BF2" w:rsidRDefault="007739E3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doklad o uhrazených nákladech na bydlení za předchozí čtvrtletí (nájemné, výdaje za </w:t>
      </w:r>
      <w:proofErr w:type="gramStart"/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energie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- 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elektřina</w:t>
      </w:r>
      <w:proofErr w:type="gramEnd"/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, plyn, </w:t>
      </w:r>
      <w:r w:rsidR="000D174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voda, 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služby za byt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– doložit 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např. bankovní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mi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výpisy, doklad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y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o úhradě SIPO, příjmov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é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doklad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y 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za úhradu v hotovosti)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. </w:t>
      </w:r>
    </w:p>
    <w:p w14:paraId="20633D9B" w14:textId="13BCAC50" w:rsidR="0013037B" w:rsidRPr="00A80BF2" w:rsidRDefault="000D174B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p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ředpis záloh za energie (elektřina, plyn, voda)</w:t>
      </w:r>
    </w:p>
    <w:p w14:paraId="1B73AB15" w14:textId="24B9F47D" w:rsidR="007739E3" w:rsidRPr="00A80BF2" w:rsidRDefault="007739E3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vyúčtování nákladů na bydlení, včetně dokladu o úhradě nedoplatku</w:t>
      </w:r>
      <w:r w:rsidR="0013037B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či vyplacení přeplatku</w:t>
      </w: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 xml:space="preserve"> (pokud bylo v předchozím čtvrtletí provedeno)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.</w:t>
      </w:r>
    </w:p>
    <w:p w14:paraId="3F77048B" w14:textId="1571E40F" w:rsidR="007739E3" w:rsidRPr="00A80BF2" w:rsidRDefault="007739E3" w:rsidP="00713F7E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nájemní smlouva (netýká se vlastníků bytů)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.</w:t>
      </w:r>
    </w:p>
    <w:p w14:paraId="4D6B251B" w14:textId="4D32039C" w:rsidR="0013037B" w:rsidRPr="00A80BF2" w:rsidRDefault="007739E3" w:rsidP="0013037B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evidenční list k bytu (obsahuje rozpis měsíčních záloh na služby)</w:t>
      </w:r>
      <w:r w:rsidR="00713F7E" w:rsidRPr="00A80BF2">
        <w:rPr>
          <w:rFonts w:ascii="PT Sans" w:eastAsia="Times New Roman" w:hAnsi="PT Sans" w:cs="Times New Roman"/>
          <w:kern w:val="0"/>
          <w:lang w:eastAsia="cs-CZ"/>
          <w14:ligatures w14:val="none"/>
        </w:rPr>
        <w:t>.</w:t>
      </w:r>
    </w:p>
    <w:p w14:paraId="3C4CD0D0" w14:textId="77777777" w:rsidR="000D174B" w:rsidRPr="00A80BF2" w:rsidRDefault="000D174B" w:rsidP="000D174B">
      <w:pPr>
        <w:pStyle w:val="Odstavecseseznamem"/>
        <w:shd w:val="clear" w:color="auto" w:fill="FFFFFF"/>
        <w:spacing w:before="100" w:beforeAutospacing="1" w:after="96" w:line="240" w:lineRule="auto"/>
        <w:jc w:val="both"/>
        <w:rPr>
          <w:rFonts w:ascii="PT Sans" w:eastAsia="Times New Roman" w:hAnsi="PT Sans" w:cs="Times New Roman"/>
          <w:kern w:val="0"/>
          <w:lang w:eastAsia="cs-CZ"/>
          <w14:ligatures w14:val="none"/>
        </w:rPr>
      </w:pPr>
    </w:p>
    <w:p w14:paraId="58A00F39" w14:textId="77777777" w:rsidR="00713F7E" w:rsidRDefault="007739E3" w:rsidP="00713F7E">
      <w:pPr>
        <w:shd w:val="clear" w:color="auto" w:fill="FFFFFF"/>
        <w:spacing w:after="192" w:line="240" w:lineRule="auto"/>
        <w:jc w:val="both"/>
        <w:rPr>
          <w:rFonts w:ascii="PT Sans" w:eastAsia="Times New Roman" w:hAnsi="PT Sans" w:cs="Times New Roman"/>
          <w:b/>
          <w:bCs/>
          <w:color w:val="000000"/>
          <w:kern w:val="0"/>
          <w:lang w:eastAsia="cs-CZ"/>
          <w14:ligatures w14:val="none"/>
        </w:rPr>
      </w:pPr>
      <w:r w:rsidRPr="007739E3">
        <w:rPr>
          <w:rFonts w:ascii="PT Sans" w:eastAsia="Times New Roman" w:hAnsi="PT Sans" w:cs="Times New Roman"/>
          <w:b/>
          <w:bCs/>
          <w:color w:val="000000"/>
          <w:kern w:val="0"/>
          <w:lang w:eastAsia="cs-CZ"/>
          <w14:ligatures w14:val="none"/>
        </w:rPr>
        <w:t>Pro rodičovský příspěvek</w:t>
      </w:r>
    </w:p>
    <w:p w14:paraId="6B122DC9" w14:textId="621B9E98" w:rsidR="007739E3" w:rsidRPr="00713F7E" w:rsidRDefault="007739E3" w:rsidP="00713F7E">
      <w:pPr>
        <w:pStyle w:val="Odstavecseseznamem"/>
        <w:numPr>
          <w:ilvl w:val="0"/>
          <w:numId w:val="4"/>
        </w:numPr>
        <w:shd w:val="clear" w:color="auto" w:fill="FFFFFF"/>
        <w:spacing w:after="192" w:line="240" w:lineRule="auto"/>
        <w:jc w:val="both"/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</w:pPr>
      <w:r w:rsidRPr="00713F7E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>Doklad totožnosti, číslo bankovního účtu a kontakt na klienta.</w:t>
      </w:r>
    </w:p>
    <w:p w14:paraId="6CD41E54" w14:textId="0BD41539" w:rsidR="00CE72E1" w:rsidRPr="00A80BF2" w:rsidRDefault="00CE72E1" w:rsidP="00713F7E">
      <w:pPr>
        <w:shd w:val="clear" w:color="auto" w:fill="FFFFFF"/>
        <w:spacing w:before="100" w:beforeAutospacing="1" w:after="96" w:line="240" w:lineRule="auto"/>
        <w:jc w:val="center"/>
        <w:rPr>
          <w:rFonts w:ascii="PT Sans" w:eastAsia="Times New Roman" w:hAnsi="PT Sans" w:cs="Times New Roman"/>
          <w:b/>
          <w:bCs/>
          <w:color w:val="000000"/>
          <w:kern w:val="0"/>
          <w:lang w:eastAsia="cs-CZ"/>
          <w14:ligatures w14:val="none"/>
        </w:rPr>
      </w:pPr>
      <w:r w:rsidRPr="00A80BF2">
        <w:rPr>
          <w:rFonts w:ascii="PT Sans" w:eastAsia="Times New Roman" w:hAnsi="PT Sans" w:cs="Times New Roman"/>
          <w:b/>
          <w:bCs/>
          <w:color w:val="000000"/>
          <w:kern w:val="0"/>
          <w:highlight w:val="yellow"/>
          <w:lang w:eastAsia="cs-CZ"/>
          <w14:ligatures w14:val="none"/>
        </w:rPr>
        <w:t xml:space="preserve">Aktuálně je </w:t>
      </w:r>
      <w:r w:rsidR="00AD44B9" w:rsidRPr="00A80BF2">
        <w:rPr>
          <w:rFonts w:ascii="PT Sans" w:eastAsia="Times New Roman" w:hAnsi="PT Sans" w:cs="Times New Roman"/>
          <w:b/>
          <w:bCs/>
          <w:color w:val="000000"/>
          <w:kern w:val="0"/>
          <w:highlight w:val="yellow"/>
          <w:lang w:eastAsia="cs-CZ"/>
          <w14:ligatures w14:val="none"/>
        </w:rPr>
        <w:t>vhodné</w:t>
      </w:r>
      <w:r w:rsidRPr="00A80BF2">
        <w:rPr>
          <w:rFonts w:ascii="PT Sans" w:eastAsia="Times New Roman" w:hAnsi="PT Sans" w:cs="Times New Roman"/>
          <w:b/>
          <w:bCs/>
          <w:color w:val="000000"/>
          <w:kern w:val="0"/>
          <w:highlight w:val="yellow"/>
          <w:lang w:eastAsia="cs-CZ"/>
          <w14:ligatures w14:val="none"/>
        </w:rPr>
        <w:t xml:space="preserve"> využít pobočku České pošty pro podání potvrzení o studiu.</w:t>
      </w:r>
    </w:p>
    <w:p w14:paraId="2AE03DC8" w14:textId="26888772" w:rsidR="007143A8" w:rsidRPr="007739E3" w:rsidRDefault="007739E3" w:rsidP="00713F7E">
      <w:pPr>
        <w:shd w:val="clear" w:color="auto" w:fill="FFFFFF"/>
        <w:spacing w:after="192" w:line="240" w:lineRule="auto"/>
        <w:jc w:val="both"/>
      </w:pPr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Na podání žádosti o dávku se </w:t>
      </w:r>
      <w:r w:rsidR="00AD44B9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klient může </w:t>
      </w:r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>na poštu objednat předem, aby nemusel stát frontu. Na </w:t>
      </w:r>
      <w:hyperlink r:id="rId5" w:history="1">
        <w:r w:rsidRPr="007739E3">
          <w:rPr>
            <w:rFonts w:ascii="PT Sans" w:eastAsia="Times New Roman" w:hAnsi="PT Sans" w:cs="Times New Roman"/>
            <w:color w:val="12513E"/>
            <w:kern w:val="0"/>
            <w:u w:val="single"/>
            <w:lang w:eastAsia="cs-CZ"/>
            <w14:ligatures w14:val="none"/>
          </w:rPr>
          <w:t>webu postaonline.cz/rezervace</w:t>
        </w:r>
      </w:hyperlink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 nebo také v mobilní aplikaci Pošta Online si </w:t>
      </w:r>
      <w:r w:rsidR="00AD44B9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 xml:space="preserve">klient </w:t>
      </w:r>
      <w:r w:rsidRPr="007739E3">
        <w:rPr>
          <w:rFonts w:ascii="PT Sans" w:eastAsia="Times New Roman" w:hAnsi="PT Sans" w:cs="Times New Roman"/>
          <w:color w:val="000000"/>
          <w:kern w:val="0"/>
          <w:lang w:eastAsia="cs-CZ"/>
          <w14:ligatures w14:val="none"/>
        </w:rPr>
        <w:t>vybere termín a konkrétní pobočku. Rezervace bude obratem potvrzena prostřednictvím SMS a e-mailem, kde najde rezervační kód. Ten pak při příchodu na poštu zadá do vyvolávacího systému a tím se dostane hned na řadu.</w:t>
      </w:r>
    </w:p>
    <w:sectPr w:rsidR="007143A8" w:rsidRPr="007739E3" w:rsidSect="000D1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8CA"/>
    <w:multiLevelType w:val="multilevel"/>
    <w:tmpl w:val="0150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F1A16"/>
    <w:multiLevelType w:val="hybridMultilevel"/>
    <w:tmpl w:val="4FD03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91CF9"/>
    <w:multiLevelType w:val="multilevel"/>
    <w:tmpl w:val="4E2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54458"/>
    <w:multiLevelType w:val="hybridMultilevel"/>
    <w:tmpl w:val="42648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D6561"/>
    <w:multiLevelType w:val="hybridMultilevel"/>
    <w:tmpl w:val="2910C058"/>
    <w:lvl w:ilvl="0" w:tplc="B0064F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F4AD3"/>
    <w:multiLevelType w:val="multilevel"/>
    <w:tmpl w:val="8DF8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985413">
    <w:abstractNumId w:val="2"/>
  </w:num>
  <w:num w:numId="2" w16cid:durableId="1077022495">
    <w:abstractNumId w:val="5"/>
  </w:num>
  <w:num w:numId="3" w16cid:durableId="1444225706">
    <w:abstractNumId w:val="0"/>
  </w:num>
  <w:num w:numId="4" w16cid:durableId="939877227">
    <w:abstractNumId w:val="3"/>
  </w:num>
  <w:num w:numId="5" w16cid:durableId="217984123">
    <w:abstractNumId w:val="1"/>
  </w:num>
  <w:num w:numId="6" w16cid:durableId="1426538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E3"/>
    <w:rsid w:val="00032752"/>
    <w:rsid w:val="000D174B"/>
    <w:rsid w:val="0013037B"/>
    <w:rsid w:val="002C565A"/>
    <w:rsid w:val="00555319"/>
    <w:rsid w:val="005F5BDA"/>
    <w:rsid w:val="00610419"/>
    <w:rsid w:val="00713F7E"/>
    <w:rsid w:val="007143A8"/>
    <w:rsid w:val="007739E3"/>
    <w:rsid w:val="008F6E1B"/>
    <w:rsid w:val="00A80BF2"/>
    <w:rsid w:val="00AD44B9"/>
    <w:rsid w:val="00AE7EC9"/>
    <w:rsid w:val="00CE72E1"/>
    <w:rsid w:val="00E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EBC9"/>
  <w15:chartTrackingRefBased/>
  <w15:docId w15:val="{56EACC03-3D2D-4494-BD1D-23FDBCE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73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773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39E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7739E3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rs-person">
    <w:name w:val="rs-person"/>
    <w:basedOn w:val="Standardnpsmoodstavce"/>
    <w:rsid w:val="007739E3"/>
  </w:style>
  <w:style w:type="character" w:styleId="Hypertextovodkaz">
    <w:name w:val="Hyperlink"/>
    <w:basedOn w:val="Standardnpsmoodstavce"/>
    <w:uiPriority w:val="99"/>
    <w:semiHidden/>
    <w:unhideWhenUsed/>
    <w:rsid w:val="007739E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39E3"/>
    <w:rPr>
      <w:b/>
      <w:bCs/>
    </w:rPr>
  </w:style>
  <w:style w:type="paragraph" w:styleId="Odstavecseseznamem">
    <w:name w:val="List Paragraph"/>
    <w:basedOn w:val="Normln"/>
    <w:uiPriority w:val="34"/>
    <w:qFormat/>
    <w:rsid w:val="0071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5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staonline.cz/rezerv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Radim Mgr. et Mgr. (UPU-TPA)</dc:creator>
  <cp:keywords/>
  <dc:description/>
  <cp:lastModifiedBy>Laubeová Květoslava Ing. Bc., DiS. (UPU-LNA)</cp:lastModifiedBy>
  <cp:revision>5</cp:revision>
  <cp:lastPrinted>2024-08-26T13:01:00Z</cp:lastPrinted>
  <dcterms:created xsi:type="dcterms:W3CDTF">2024-08-26T13:28:00Z</dcterms:created>
  <dcterms:modified xsi:type="dcterms:W3CDTF">2024-08-26T14:50:00Z</dcterms:modified>
</cp:coreProperties>
</file>